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31D" w:rsidRDefault="00A2231D">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○稲敷市介護予防・日常生活支援総合事業の実施に関する要綱</w:t>
      </w:r>
    </w:p>
    <w:p w:rsidR="00A2231D" w:rsidRDefault="00A2231D">
      <w:pPr>
        <w:autoSpaceDE w:val="0"/>
        <w:autoSpaceDN w:val="0"/>
        <w:adjustRightInd w:val="0"/>
        <w:spacing w:line="420" w:lineRule="atLeast"/>
        <w:jc w:val="right"/>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平成２９年３月２４日</w:t>
      </w:r>
    </w:p>
    <w:p w:rsidR="00A2231D" w:rsidRDefault="00A2231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告示第１４号</w:t>
      </w:r>
    </w:p>
    <w:p w:rsidR="00A2231D" w:rsidRDefault="00A2231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　平成３０年３月２３日告示第１７号</w:t>
      </w:r>
    </w:p>
    <w:p w:rsidR="00A2231D" w:rsidRDefault="00A2231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（趣旨）</w:t>
      </w:r>
    </w:p>
    <w:p w:rsidR="00A2231D" w:rsidRDefault="00A223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第１条　この告示は，介護保険法（平成９年法律第１２３号。以下「法」という。），介護保険法施行令（平成１０年政令第４１２号。以下「政令」という。）及び介護保険法施行規則（平成１１年厚生省令第３６号。以下「施行規則」という。）に定めるもののほか，法第１１５条の４５第１項に規定する介護予防・日常生活支援総合事業（以下「総合事業」という。）の実施に関し，必要な事項を定めるものとする。</w:t>
      </w:r>
    </w:p>
    <w:p w:rsidR="00A2231D" w:rsidRDefault="00A2231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（定義）</w:t>
      </w:r>
    </w:p>
    <w:p w:rsidR="00A2231D" w:rsidRDefault="00A223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第２条　この告示における用語の意義は，法及び施行規則において定めるもののほか，次に定めるところによる。</w:t>
      </w:r>
    </w:p>
    <w:p w:rsidR="00A2231D" w:rsidRDefault="00A2231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（１）介護予防・生活支援サービス事業　法第１１５条の４５第１項第１号に規定する第１号事業をいう。</w:t>
      </w:r>
    </w:p>
    <w:p w:rsidR="00A2231D" w:rsidRDefault="00A2231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（２）介護予防ケアマネジメント　法第１１５条の４５第１項第１号二に規定する第１号介護予防支援事業をいう。</w:t>
      </w:r>
    </w:p>
    <w:p w:rsidR="00A2231D" w:rsidRDefault="00A2231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（３）一般介護予防事業　法第１１５条の４５第１項第２号に指定する事業をいう。</w:t>
      </w:r>
    </w:p>
    <w:p w:rsidR="00A2231D" w:rsidRDefault="00A2231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（事業の内容）</w:t>
      </w:r>
    </w:p>
    <w:p w:rsidR="00A2231D" w:rsidRDefault="00A223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第３条　市長は，総合事業として，次に掲げる事業を実施するものとする。</w:t>
      </w:r>
    </w:p>
    <w:p w:rsidR="00A2231D" w:rsidRDefault="00A2231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（１）介護予防・生活支援サービス事業</w:t>
      </w:r>
    </w:p>
    <w:p w:rsidR="00A2231D" w:rsidRDefault="00A2231D">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ア第１号訪問事業　法第１１５条の４５第１項第１号イに規定する事業をいう。</w:t>
      </w:r>
    </w:p>
    <w:p w:rsidR="00A2231D" w:rsidRDefault="00A2231D">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（ア）介護予防訪問介護相当サービス　旧介護予防訪問介護に相当するサービスをいう。</w:t>
      </w:r>
    </w:p>
    <w:p w:rsidR="00A2231D" w:rsidRDefault="00A2231D">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（イ）訪問型サービス</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 xml:space="preserve">　旧介護予防訪問介護に係る基準よりも緩和した基準によるサービスをいう。</w:t>
      </w:r>
    </w:p>
    <w:p w:rsidR="00A2231D" w:rsidRDefault="00A2231D">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イ第１号通所事業　法第１１５条の４５第１項第１号ロに規定する事業をいう。</w:t>
      </w:r>
    </w:p>
    <w:p w:rsidR="00A2231D" w:rsidRDefault="00A2231D">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（ア）介護予防通所介護相当サービス　旧介護予防通所介護に相当するサービスをいう。</w:t>
      </w:r>
    </w:p>
    <w:p w:rsidR="00A2231D" w:rsidRDefault="00A2231D">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（イ）通所型サービス</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 xml:space="preserve">　旧介護予防通所介護に係る基準よりも緩和した基準によるサービスをいう。</w:t>
      </w:r>
    </w:p>
    <w:p w:rsidR="00A2231D" w:rsidRDefault="00A2231D">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（ウ）通所型サービス</w:t>
      </w:r>
      <w:r>
        <w:rPr>
          <w:rFonts w:ascii="Century" w:eastAsia="ＭＳ 明朝" w:hAnsi="ＭＳ 明朝" w:cs="ＭＳ 明朝"/>
          <w:color w:val="000000"/>
          <w:kern w:val="0"/>
          <w:szCs w:val="21"/>
        </w:rPr>
        <w:t>C</w:t>
      </w:r>
      <w:r>
        <w:rPr>
          <w:rFonts w:ascii="Century" w:eastAsia="ＭＳ 明朝" w:hAnsi="ＭＳ 明朝" w:cs="ＭＳ 明朝" w:hint="eastAsia"/>
          <w:color w:val="000000"/>
          <w:kern w:val="0"/>
          <w:szCs w:val="21"/>
        </w:rPr>
        <w:t xml:space="preserve">　保健・医療の専門職により提供される通所型サービスであって，３箇月から６箇月の短期間で行われるものをいう。</w:t>
      </w:r>
    </w:p>
    <w:p w:rsidR="00A2231D" w:rsidRDefault="00A2231D">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ウ第１号生活支援事業　法第１１５条の４５第１項第１号ハに規定する事業をいう。</w:t>
      </w:r>
    </w:p>
    <w:p w:rsidR="00A2231D" w:rsidRDefault="00A2231D">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エ介護予防ケアマネジメント</w:t>
      </w:r>
    </w:p>
    <w:p w:rsidR="00A2231D" w:rsidRDefault="00A2231D">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（ア）介護予防ケアマネジメント</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 xml:space="preserve">　介護予防支援に相当する介護予防ケアマネジメントをいう。</w:t>
      </w:r>
    </w:p>
    <w:p w:rsidR="00A2231D" w:rsidRDefault="00A2231D">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（イ）介護予防ケアマネジメント</w:t>
      </w:r>
      <w:r>
        <w:rPr>
          <w:rFonts w:ascii="Century" w:eastAsia="ＭＳ 明朝" w:hAnsi="ＭＳ 明朝" w:cs="ＭＳ 明朝"/>
          <w:color w:val="000000"/>
          <w:kern w:val="0"/>
          <w:szCs w:val="21"/>
        </w:rPr>
        <w:t>B</w:t>
      </w:r>
      <w:r>
        <w:rPr>
          <w:rFonts w:ascii="Century" w:eastAsia="ＭＳ 明朝" w:hAnsi="ＭＳ 明朝" w:cs="ＭＳ 明朝" w:hint="eastAsia"/>
          <w:color w:val="000000"/>
          <w:kern w:val="0"/>
          <w:szCs w:val="21"/>
        </w:rPr>
        <w:t xml:space="preserve">　緩和した基準による介護予防ケアマネジメントであって，サービス担当者会議等を省略したものをいう。</w:t>
      </w:r>
    </w:p>
    <w:p w:rsidR="00A2231D" w:rsidRDefault="00A2231D">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（ウ）介護予防ケアマネジメント</w:t>
      </w:r>
      <w:r>
        <w:rPr>
          <w:rFonts w:ascii="Century" w:eastAsia="ＭＳ 明朝" w:hAnsi="ＭＳ 明朝" w:cs="ＭＳ 明朝"/>
          <w:color w:val="000000"/>
          <w:kern w:val="0"/>
          <w:szCs w:val="21"/>
        </w:rPr>
        <w:t>C</w:t>
      </w:r>
      <w:r>
        <w:rPr>
          <w:rFonts w:ascii="Century" w:eastAsia="ＭＳ 明朝" w:hAnsi="ＭＳ 明朝" w:cs="ＭＳ 明朝" w:hint="eastAsia"/>
          <w:color w:val="000000"/>
          <w:kern w:val="0"/>
          <w:szCs w:val="21"/>
        </w:rPr>
        <w:t xml:space="preserve">　緩和した基準による介護予防ケアマネジメントであって，サービスの利用又は地域の予防活動その他の活動への参加開始時にのみ行われるものをいう。</w:t>
      </w:r>
    </w:p>
    <w:p w:rsidR="00A2231D" w:rsidRDefault="00A2231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（２）一般介護予防事業</w:t>
      </w:r>
    </w:p>
    <w:p w:rsidR="00A2231D" w:rsidRDefault="00A2231D">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ア介護予防把握事業　地域の実情に応じて収集した情報等の活用により，閉じこもり等何らかの支援を要する者を把握し，介護予防活動へつなげる事業をいう。</w:t>
      </w:r>
    </w:p>
    <w:p w:rsidR="00A2231D" w:rsidRDefault="00A2231D">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イ介護予防普及啓発事業　介護予防活動の普及・啓発を行う事業をいう。</w:t>
      </w:r>
    </w:p>
    <w:p w:rsidR="00A2231D" w:rsidRDefault="00A2231D">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ウ地域介護予防活動支援事業　地域における住民主体の介護予防活動の育成・支援を行う事業をいう。</w:t>
      </w:r>
    </w:p>
    <w:p w:rsidR="00A2231D" w:rsidRDefault="00A2231D">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エ地域リハビリテーション活動支援事業　地域における介護予防の取組を機能強化するために，通所，訪問，地域ケア会議，サービス担当者会議，住民運営の通いの場へのリハビリテーション専門職等の関与をする事業をいう。</w:t>
      </w:r>
    </w:p>
    <w:p w:rsidR="00A2231D" w:rsidRDefault="00A2231D">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オ一般介護予防事業評価事業　介護保険事業計画に定める目標値の達成状況等の検証を行い，一般介護予防事業の事業評価を行う事業をいう。</w:t>
      </w:r>
    </w:p>
    <w:p w:rsidR="00A2231D" w:rsidRDefault="00A2231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（総合事業の実施方法）</w:t>
      </w:r>
    </w:p>
    <w:p w:rsidR="00A2231D" w:rsidRDefault="00A223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第４条　市長は，総合事業について，市が直接実施するもののほか，次の各号に掲げるいずれかの方法により実施するものとする。</w:t>
      </w:r>
    </w:p>
    <w:p w:rsidR="00A2231D" w:rsidRDefault="00A2231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（１）法第１１５条の４５の３第１項に基づく指定事業者による実施</w:t>
      </w:r>
    </w:p>
    <w:p w:rsidR="00A2231D" w:rsidRDefault="00A2231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（２）法第１１５条の４７第４項の規定に基づく施行規則第１４０条の６９の規定に適合する者に対する委託による実施</w:t>
      </w:r>
    </w:p>
    <w:p w:rsidR="00A2231D" w:rsidRDefault="00A2231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（３）施行規則第１４０条の６２の３第１項第２号の規定に基づく補助による実施</w:t>
      </w:r>
    </w:p>
    <w:p w:rsidR="00A2231D" w:rsidRDefault="00A223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総合事業のうち，前条第１号ア（ア）及び（イ）並びに同号イ（ア）及び（イ）に規定する事業については，指定事業者により実施するものとする。</w:t>
      </w:r>
    </w:p>
    <w:p w:rsidR="00A2231D" w:rsidRDefault="00A2231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（指定事業者の基準等）</w:t>
      </w:r>
    </w:p>
    <w:p w:rsidR="00A2231D" w:rsidRDefault="00A223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第５条　施行規則第１４０条の６３の６第１号イの基準により市が定める基準及び同条第２号の基準により市が定める基準並びに法第１１５条の４５の３第１項の指定に関する手続は，市長が別に定める。</w:t>
      </w:r>
    </w:p>
    <w:p w:rsidR="00A2231D" w:rsidRDefault="00A2231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（指定事業者により実施する介護予防・生活支援サービス事業に要する費用の額）</w:t>
      </w:r>
    </w:p>
    <w:p w:rsidR="00A2231D" w:rsidRDefault="00A223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第６条　指定事業者により実施する介護予防・生活支援サービス事業に要する費用の額は，別表第１の事業名の欄に定める事業ごとに，同表の単位数の欄に定める単位数に応じ，同表の単価の欄に定める単価を乗じて得た額とする。</w:t>
      </w:r>
    </w:p>
    <w:p w:rsidR="00A2231D" w:rsidRDefault="00A223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前項の規定により介護予防・生活支援サービス事業に要する費用の額を算定した場合において，その額に１円未満の端数があるときは，切り捨てて計算するものとする。</w:t>
      </w:r>
    </w:p>
    <w:p w:rsidR="00A2231D" w:rsidRDefault="00A2231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（第１号事業支給費）</w:t>
      </w:r>
    </w:p>
    <w:p w:rsidR="00A2231D" w:rsidRDefault="00A223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第７条　法第１１５条の４５の３第１項に規定する第１号事業支給費の額は，前条の規定により算出した事業に要する費用の額（当該額が現に当該事業のサービスに要した費用の額を超えるときは，当該事業のサービスに要した費用の額とする。）の１００分の９０（利用者が法第５９条の２</w:t>
      </w:r>
      <w:r w:rsidR="00EC60AF" w:rsidRPr="00EC60AF">
        <w:rPr>
          <w:rFonts w:ascii="Century" w:eastAsia="ＭＳ 明朝" w:hAnsi="ＭＳ 明朝" w:cs="ＭＳ 明朝" w:hint="eastAsia"/>
          <w:color w:val="FF0000"/>
          <w:kern w:val="0"/>
          <w:szCs w:val="21"/>
        </w:rPr>
        <w:t>第１項</w:t>
      </w:r>
      <w:r>
        <w:rPr>
          <w:rFonts w:ascii="Century" w:eastAsia="ＭＳ 明朝" w:hAnsi="ＭＳ 明朝" w:cs="ＭＳ 明朝" w:hint="eastAsia"/>
          <w:color w:val="000000"/>
          <w:kern w:val="0"/>
          <w:szCs w:val="21"/>
        </w:rPr>
        <w:t>に規定する政令で定めるところにより算定した所得の額が同条</w:t>
      </w:r>
      <w:r w:rsidR="0043694F" w:rsidRPr="0043694F">
        <w:rPr>
          <w:rFonts w:ascii="Century" w:eastAsia="ＭＳ 明朝" w:hAnsi="ＭＳ 明朝" w:cs="ＭＳ 明朝" w:hint="eastAsia"/>
          <w:color w:val="FF0000"/>
          <w:kern w:val="0"/>
          <w:szCs w:val="21"/>
        </w:rPr>
        <w:t>第１項</w:t>
      </w:r>
      <w:r>
        <w:rPr>
          <w:rFonts w:ascii="Century" w:eastAsia="ＭＳ 明朝" w:hAnsi="ＭＳ 明朝" w:cs="ＭＳ 明朝" w:hint="eastAsia"/>
          <w:color w:val="000000"/>
          <w:kern w:val="0"/>
          <w:szCs w:val="21"/>
        </w:rPr>
        <w:t>で規定する政令で定める額以上である居宅要支援被保険者等</w:t>
      </w:r>
      <w:r w:rsidR="007A77F0">
        <w:rPr>
          <w:rFonts w:ascii="Century" w:eastAsia="ＭＳ 明朝" w:hAnsi="ＭＳ 明朝" w:cs="ＭＳ 明朝" w:hint="eastAsia"/>
          <w:color w:val="FF0000"/>
          <w:kern w:val="0"/>
          <w:szCs w:val="21"/>
        </w:rPr>
        <w:t>（同条</w:t>
      </w:r>
      <w:r w:rsidR="00EC60AF">
        <w:rPr>
          <w:rFonts w:ascii="Century" w:eastAsia="ＭＳ 明朝" w:hAnsi="ＭＳ 明朝" w:cs="ＭＳ 明朝" w:hint="eastAsia"/>
          <w:color w:val="FF0000"/>
          <w:kern w:val="0"/>
          <w:szCs w:val="21"/>
        </w:rPr>
        <w:t>第２項に規定する</w:t>
      </w:r>
      <w:r w:rsidR="007A77F0">
        <w:rPr>
          <w:rFonts w:ascii="Century" w:eastAsia="ＭＳ 明朝" w:hAnsi="ＭＳ 明朝" w:cs="ＭＳ 明朝" w:hint="eastAsia"/>
          <w:color w:val="FF0000"/>
          <w:kern w:val="0"/>
          <w:szCs w:val="21"/>
        </w:rPr>
        <w:t>居宅要支援被保険者等を除く。）</w:t>
      </w:r>
      <w:r>
        <w:rPr>
          <w:rFonts w:ascii="Century" w:eastAsia="ＭＳ 明朝" w:hAnsi="ＭＳ 明朝" w:cs="ＭＳ 明朝" w:hint="eastAsia"/>
          <w:color w:val="000000"/>
          <w:kern w:val="0"/>
          <w:szCs w:val="21"/>
        </w:rPr>
        <w:t>である場合にあっては，１００分の８０</w:t>
      </w:r>
      <w:r w:rsidR="007A77F0" w:rsidRPr="007A77F0">
        <w:rPr>
          <w:rFonts w:ascii="Century" w:eastAsia="ＭＳ 明朝" w:hAnsi="ＭＳ 明朝" w:cs="ＭＳ 明朝" w:hint="eastAsia"/>
          <w:color w:val="FF0000"/>
          <w:kern w:val="0"/>
          <w:szCs w:val="21"/>
        </w:rPr>
        <w:t>，</w:t>
      </w:r>
      <w:r w:rsidR="007A77F0">
        <w:rPr>
          <w:rFonts w:ascii="Century" w:eastAsia="ＭＳ 明朝" w:hAnsi="ＭＳ 明朝" w:cs="ＭＳ 明朝" w:hint="eastAsia"/>
          <w:color w:val="FF0000"/>
          <w:kern w:val="0"/>
          <w:szCs w:val="21"/>
        </w:rPr>
        <w:t>同条第２項に</w:t>
      </w:r>
      <w:r w:rsidR="007A77F0" w:rsidRPr="007A77F0">
        <w:rPr>
          <w:rFonts w:ascii="Century" w:eastAsia="ＭＳ 明朝" w:hAnsi="ＭＳ 明朝" w:cs="ＭＳ 明朝" w:hint="eastAsia"/>
          <w:color w:val="FF0000"/>
          <w:kern w:val="0"/>
          <w:szCs w:val="21"/>
        </w:rPr>
        <w:t>規定する政令で定めるところにより算定した所得の額が同条</w:t>
      </w:r>
      <w:r w:rsidR="0043694F">
        <w:rPr>
          <w:rFonts w:ascii="Century" w:eastAsia="ＭＳ 明朝" w:hAnsi="ＭＳ 明朝" w:cs="ＭＳ 明朝" w:hint="eastAsia"/>
          <w:color w:val="FF0000"/>
          <w:kern w:val="0"/>
          <w:szCs w:val="21"/>
        </w:rPr>
        <w:t>第１項</w:t>
      </w:r>
      <w:r w:rsidR="007A77F0" w:rsidRPr="007A77F0">
        <w:rPr>
          <w:rFonts w:ascii="Century" w:eastAsia="ＭＳ 明朝" w:hAnsi="ＭＳ 明朝" w:cs="ＭＳ 明朝" w:hint="eastAsia"/>
          <w:color w:val="FF0000"/>
          <w:kern w:val="0"/>
          <w:szCs w:val="21"/>
        </w:rPr>
        <w:t>で規定する政令で定める額</w:t>
      </w:r>
      <w:r w:rsidR="0043694F">
        <w:rPr>
          <w:rFonts w:ascii="Century" w:eastAsia="ＭＳ 明朝" w:hAnsi="ＭＳ 明朝" w:cs="ＭＳ 明朝" w:hint="eastAsia"/>
          <w:color w:val="FF0000"/>
          <w:kern w:val="0"/>
          <w:szCs w:val="21"/>
        </w:rPr>
        <w:t>を超える政令で定める額以上である</w:t>
      </w:r>
      <w:r w:rsidR="007A77F0" w:rsidRPr="007A77F0">
        <w:rPr>
          <w:rFonts w:ascii="Century" w:eastAsia="ＭＳ 明朝" w:hAnsi="ＭＳ 明朝" w:cs="ＭＳ 明朝" w:hint="eastAsia"/>
          <w:color w:val="FF0000"/>
          <w:kern w:val="0"/>
          <w:szCs w:val="21"/>
        </w:rPr>
        <w:t>居宅要支援被保険者等である場合にあっては，１００分の７０</w:t>
      </w:r>
      <w:r>
        <w:rPr>
          <w:rFonts w:ascii="Century" w:eastAsia="ＭＳ 明朝" w:hAnsi="ＭＳ 明朝" w:cs="ＭＳ 明朝" w:hint="eastAsia"/>
          <w:color w:val="000000"/>
          <w:kern w:val="0"/>
          <w:szCs w:val="21"/>
        </w:rPr>
        <w:t>）に相当する額とする。</w:t>
      </w:r>
    </w:p>
    <w:p w:rsidR="00A2231D" w:rsidRDefault="00A223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市長は，法第１１５条の４５の３第３項の規定により，介護予防・生活支援サービスを提供した指定事業者からの請求に基づき，当該利用者に代わり，当該指定事業者に前項に規定する第１号事業支給費を支払うものとする。</w:t>
      </w:r>
    </w:p>
    <w:p w:rsidR="00A2231D" w:rsidRDefault="00A223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前項において，市は，茨城県国民健康保険団体連合会に審査及び支払に関する事務を委託して行うものとする。</w:t>
      </w:r>
    </w:p>
    <w:p w:rsidR="00A2231D" w:rsidRDefault="00A2231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（介護予防ケアマネジメントの委託費の額）</w:t>
      </w:r>
    </w:p>
    <w:p w:rsidR="00A2231D" w:rsidRDefault="00A223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第８条　地域包括支援センターが介護予防ケアマネジメントに係る事務の一部を指定居宅介護支援事業所に委託する場合の委託費の額は，別表第２に定める額とする。</w:t>
      </w:r>
    </w:p>
    <w:p w:rsidR="00A2231D" w:rsidRDefault="00A2231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（利用料）</w:t>
      </w:r>
    </w:p>
    <w:p w:rsidR="00A2231D" w:rsidRDefault="00A223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第９条　指定事業者による介護予防・生活支援サービス事業の利用者は，当該サービスに係る費用の額から第７条の規定により支給される第１号事業支給費の額を控除して得た額</w:t>
      </w:r>
      <w:r>
        <w:rPr>
          <w:rFonts w:ascii="Century" w:eastAsia="ＭＳ 明朝" w:hAnsi="ＭＳ 明朝" w:cs="ＭＳ 明朝" w:hint="eastAsia"/>
          <w:color w:val="000000"/>
          <w:kern w:val="0"/>
          <w:szCs w:val="21"/>
        </w:rPr>
        <w:lastRenderedPageBreak/>
        <w:t>を利用料として当該サービスを提供した指定事業者に支払うものとする。</w:t>
      </w:r>
    </w:p>
    <w:p w:rsidR="00A2231D" w:rsidRDefault="00A223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介護予防ケアマネジメントに係る利用料は，無料とする。</w:t>
      </w:r>
    </w:p>
    <w:p w:rsidR="00A2231D" w:rsidRDefault="00A223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前各項に定めるもののほか，総合事業に係る利用料については，事業ごとに別に定める。</w:t>
      </w:r>
    </w:p>
    <w:p w:rsidR="00A2231D" w:rsidRDefault="00A2231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（支給限度額）</w:t>
      </w:r>
    </w:p>
    <w:p w:rsidR="00A2231D" w:rsidRDefault="00A223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第１０条　居宅要支援被保険者が総合事業を利用する場合の支給限度額は，要支援状態区分に応じ，法第５５条第２項の規定に基づいて介護予防サービス費等区分支給限度基準額として厚生労働大臣が定める額について同条第１項の規定により算出した額とする。</w:t>
      </w:r>
    </w:p>
    <w:p w:rsidR="00A2231D" w:rsidRDefault="00A223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厚生労働省告示で定める基本チェックリストの記入内容が事業対象基準に該当した者（以下「事業対象者」という。）が総合事業を利用する場合（指定事業者のサービスを利用する場合のみ）の支給限度額は，要支援１に係る介護予防サービス費等区分支給限度基準額について同条第１項の規定により算出した額とする。</w:t>
      </w:r>
    </w:p>
    <w:p w:rsidR="00A2231D" w:rsidRDefault="00A223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前項の規定にかかわらず，利用者の自立支援を推進するものとして市長が必要と認めた場合には，前項で規定する額を超える額を支給限度額とすることができる。</w:t>
      </w:r>
    </w:p>
    <w:p w:rsidR="00A2231D" w:rsidRDefault="00A2231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（高額介護予防サービス費等相当事業）</w:t>
      </w:r>
    </w:p>
    <w:p w:rsidR="00A2231D" w:rsidRDefault="00A223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第１１条　市長は，法第６１条に規定する高額介護予防サービス費及び法第６１条の２に規定する高額医療合算介護サービス費の支給に相当する額を支給する事業（以下「高額介護予防サービス費等相当事業」という。）を行うものとする。</w:t>
      </w:r>
    </w:p>
    <w:p w:rsidR="00A2231D" w:rsidRDefault="00A223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高額介護予防サービス費等相当事業における支給要件，支給額その他高額介護予防サービス費等相当事業に関して必要な事項は，政令第２９条の２及び第２９条の３，法第６９条第５項及び稲敷市介護保険条例施行規則（平成１７年稲敷市規則第８３号）第２０条，２１条の２の規定を準用する。</w:t>
      </w:r>
    </w:p>
    <w:p w:rsidR="00A2231D" w:rsidRDefault="00A2231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（介護予防・生活支援サービス事業の利用手続き）</w:t>
      </w:r>
    </w:p>
    <w:p w:rsidR="00A2231D" w:rsidRDefault="00A223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第１２条　居宅要支援被保険者等は，第３条第１号の事業を利用しようとするとき（介護予防サービスを併せて利用するときを含む。）は，介護予防サービス計画作成・介護予防ケアマネジメント依頼（変更）届出書（別記様式）及び介護保険被保険者証を市長に提出しなければならない。</w:t>
      </w:r>
    </w:p>
    <w:p w:rsidR="00A2231D" w:rsidRDefault="00A223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市長は，前項の届出をした者のうち，事業対象者について受給者台帳受給者台帳に登録するとともに，必要事項を介護保険被保険者証に記載し，これを返付するものとする。</w:t>
      </w:r>
    </w:p>
    <w:p w:rsidR="00A2231D" w:rsidRDefault="00A223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第１３条　この告示に定めるもののほか，総合事業の実施に関し必要な事項は，市長が別に定める。</w:t>
      </w:r>
    </w:p>
    <w:p w:rsidR="00A2231D" w:rsidRDefault="00A2231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A2231D" w:rsidRDefault="00A2231D">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この告示は，平成２９年４月１日から施行する。</w:t>
      </w:r>
    </w:p>
    <w:p w:rsidR="00A2231D" w:rsidRDefault="00A2231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則（平成３０年告示第１７号）</w:t>
      </w:r>
    </w:p>
    <w:p w:rsidR="00A2231D" w:rsidRDefault="00A2231D">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この告示は，平成３０年４月１日から施行する。</w:t>
      </w:r>
    </w:p>
    <w:p w:rsidR="00A2231D" w:rsidRDefault="00A223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別表第１（第６条関係）</w:t>
      </w:r>
    </w:p>
    <w:tbl>
      <w:tblPr>
        <w:tblW w:w="0" w:type="auto"/>
        <w:tblInd w:w="5" w:type="dxa"/>
        <w:tblLayout w:type="fixed"/>
        <w:tblCellMar>
          <w:left w:w="0" w:type="dxa"/>
          <w:right w:w="0" w:type="dxa"/>
        </w:tblCellMar>
        <w:tblLook w:val="0000" w:firstRow="0" w:lastRow="0" w:firstColumn="0" w:lastColumn="0" w:noHBand="0" w:noVBand="0"/>
      </w:tblPr>
      <w:tblGrid>
        <w:gridCol w:w="1020"/>
        <w:gridCol w:w="1870"/>
        <w:gridCol w:w="3401"/>
        <w:gridCol w:w="2040"/>
      </w:tblGrid>
      <w:tr w:rsidR="00A2231D">
        <w:tblPrEx>
          <w:tblCellMar>
            <w:top w:w="0" w:type="dxa"/>
            <w:left w:w="0" w:type="dxa"/>
            <w:bottom w:w="0" w:type="dxa"/>
            <w:right w:w="0" w:type="dxa"/>
          </w:tblCellMar>
        </w:tblPrEx>
        <w:tc>
          <w:tcPr>
            <w:tcW w:w="1020" w:type="dxa"/>
            <w:tcBorders>
              <w:top w:val="single" w:sz="4" w:space="0" w:color="000000"/>
              <w:left w:val="single" w:sz="4" w:space="0" w:color="000000"/>
              <w:bottom w:val="single" w:sz="4" w:space="0" w:color="000000"/>
              <w:right w:val="single" w:sz="4" w:space="0" w:color="000000"/>
            </w:tcBorders>
          </w:tcPr>
          <w:p w:rsidR="00A2231D" w:rsidRDefault="00A2231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区分</w:t>
            </w:r>
          </w:p>
        </w:tc>
        <w:tc>
          <w:tcPr>
            <w:tcW w:w="1870" w:type="dxa"/>
            <w:tcBorders>
              <w:top w:val="single" w:sz="4" w:space="0" w:color="000000"/>
              <w:left w:val="nil"/>
              <w:bottom w:val="single" w:sz="4" w:space="0" w:color="000000"/>
              <w:right w:val="single" w:sz="4" w:space="0" w:color="000000"/>
            </w:tcBorders>
          </w:tcPr>
          <w:p w:rsidR="00A2231D" w:rsidRDefault="00A2231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事業名</w:t>
            </w:r>
          </w:p>
        </w:tc>
        <w:tc>
          <w:tcPr>
            <w:tcW w:w="3401" w:type="dxa"/>
            <w:tcBorders>
              <w:top w:val="single" w:sz="4" w:space="0" w:color="000000"/>
              <w:left w:val="nil"/>
              <w:bottom w:val="single" w:sz="4" w:space="0" w:color="000000"/>
              <w:right w:val="single" w:sz="4" w:space="0" w:color="000000"/>
            </w:tcBorders>
          </w:tcPr>
          <w:p w:rsidR="00A2231D" w:rsidRDefault="00A2231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単位数</w:t>
            </w:r>
          </w:p>
        </w:tc>
        <w:tc>
          <w:tcPr>
            <w:tcW w:w="2040" w:type="dxa"/>
            <w:tcBorders>
              <w:top w:val="single" w:sz="4" w:space="0" w:color="000000"/>
              <w:left w:val="nil"/>
              <w:bottom w:val="single" w:sz="4" w:space="0" w:color="000000"/>
              <w:right w:val="single" w:sz="4" w:space="0" w:color="000000"/>
            </w:tcBorders>
          </w:tcPr>
          <w:p w:rsidR="00A2231D" w:rsidRDefault="00A2231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１単位の単価</w:t>
            </w:r>
          </w:p>
        </w:tc>
      </w:tr>
      <w:tr w:rsidR="00A2231D">
        <w:tblPrEx>
          <w:tblCellMar>
            <w:top w:w="0" w:type="dxa"/>
            <w:left w:w="0" w:type="dxa"/>
            <w:bottom w:w="0" w:type="dxa"/>
            <w:right w:w="0" w:type="dxa"/>
          </w:tblCellMar>
        </w:tblPrEx>
        <w:tc>
          <w:tcPr>
            <w:tcW w:w="1020" w:type="dxa"/>
            <w:vMerge w:val="restart"/>
            <w:tcBorders>
              <w:top w:val="nil"/>
              <w:left w:val="single" w:sz="4" w:space="0" w:color="000000"/>
              <w:bottom w:val="single" w:sz="4" w:space="0" w:color="000000"/>
              <w:right w:val="single" w:sz="4" w:space="0" w:color="000000"/>
            </w:tcBorders>
          </w:tcPr>
          <w:p w:rsidR="00A2231D" w:rsidRDefault="00A2231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第１号訪問事業</w:t>
            </w:r>
          </w:p>
        </w:tc>
        <w:tc>
          <w:tcPr>
            <w:tcW w:w="1870" w:type="dxa"/>
            <w:tcBorders>
              <w:top w:val="nil"/>
              <w:left w:val="nil"/>
              <w:bottom w:val="single" w:sz="4" w:space="0" w:color="000000"/>
              <w:right w:val="single" w:sz="4" w:space="0" w:color="000000"/>
            </w:tcBorders>
          </w:tcPr>
          <w:p w:rsidR="00A2231D" w:rsidRDefault="00A2231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介護予防訪問介護相当サービス</w:t>
            </w:r>
          </w:p>
        </w:tc>
        <w:tc>
          <w:tcPr>
            <w:tcW w:w="3401" w:type="dxa"/>
            <w:tcBorders>
              <w:top w:val="nil"/>
              <w:left w:val="nil"/>
              <w:bottom w:val="single" w:sz="4" w:space="0" w:color="000000"/>
              <w:right w:val="single" w:sz="4" w:space="0" w:color="000000"/>
            </w:tcBorders>
          </w:tcPr>
          <w:p w:rsidR="00A2231D" w:rsidRDefault="00A2231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地域支援事業実施要綱（平成１８年６月９日老発第０６０９００１号厚生労働省老健局長通知「地域支援事業の実施について」別紙。以下同じ）別添１の１に定める単位</w:t>
            </w:r>
          </w:p>
        </w:tc>
        <w:tc>
          <w:tcPr>
            <w:tcW w:w="2040" w:type="dxa"/>
            <w:vMerge w:val="restart"/>
            <w:tcBorders>
              <w:top w:val="nil"/>
              <w:left w:val="nil"/>
              <w:bottom w:val="single" w:sz="4" w:space="0" w:color="000000"/>
              <w:right w:val="single" w:sz="4" w:space="0" w:color="000000"/>
            </w:tcBorders>
          </w:tcPr>
          <w:p w:rsidR="00A2231D" w:rsidRDefault="00A2231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厚生労働大臣が定める一単位の単価（平成２７年厚生労働省告示第９３号。以下「単価告示」という。）に定める地域区分に応じた訪問介護の単価</w:t>
            </w:r>
          </w:p>
        </w:tc>
      </w:tr>
      <w:tr w:rsidR="00A2231D">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A2231D" w:rsidRPr="004136B4" w:rsidRDefault="00A2231D">
            <w:pPr>
              <w:autoSpaceDE w:val="0"/>
              <w:autoSpaceDN w:val="0"/>
              <w:adjustRightInd w:val="0"/>
              <w:jc w:val="left"/>
              <w:rPr>
                <w:rFonts w:ascii="Arial" w:hAnsi="Arial" w:cs="Arial"/>
                <w:kern w:val="0"/>
                <w:sz w:val="24"/>
                <w:szCs w:val="24"/>
              </w:rPr>
            </w:pPr>
          </w:p>
        </w:tc>
        <w:tc>
          <w:tcPr>
            <w:tcW w:w="1870" w:type="dxa"/>
            <w:tcBorders>
              <w:top w:val="nil"/>
              <w:left w:val="nil"/>
              <w:bottom w:val="single" w:sz="4" w:space="0" w:color="000000"/>
              <w:right w:val="single" w:sz="4" w:space="0" w:color="000000"/>
            </w:tcBorders>
          </w:tcPr>
          <w:p w:rsidR="00A2231D" w:rsidRDefault="00A2231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訪問型サービス</w:t>
            </w:r>
            <w:r>
              <w:rPr>
                <w:rFonts w:ascii="Century" w:eastAsia="ＭＳ 明朝" w:hAnsi="ＭＳ 明朝" w:cs="ＭＳ 明朝"/>
                <w:color w:val="000000"/>
                <w:kern w:val="0"/>
                <w:szCs w:val="21"/>
              </w:rPr>
              <w:t>A</w:t>
            </w:r>
          </w:p>
        </w:tc>
        <w:tc>
          <w:tcPr>
            <w:tcW w:w="3401" w:type="dxa"/>
            <w:tcBorders>
              <w:top w:val="nil"/>
              <w:left w:val="nil"/>
              <w:bottom w:val="single" w:sz="4" w:space="0" w:color="000000"/>
              <w:right w:val="single" w:sz="4" w:space="0" w:color="000000"/>
            </w:tcBorders>
          </w:tcPr>
          <w:p w:rsidR="00A2231D" w:rsidRDefault="00A223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　１回４５分未満の訪問　２３０単位</w:t>
            </w:r>
          </w:p>
          <w:p w:rsidR="00A2231D" w:rsidRDefault="00A223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１回４５分以上６０分未満の訪問　２５０単位</w:t>
            </w:r>
          </w:p>
          <w:p w:rsidR="00A2231D" w:rsidRDefault="00A223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ウ　１回６０分以上９０分未満の訪問　２９０単位</w:t>
            </w:r>
          </w:p>
          <w:p w:rsidR="00A2231D" w:rsidRDefault="00A223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エ　初回加算　２００単位</w:t>
            </w:r>
          </w:p>
        </w:tc>
        <w:tc>
          <w:tcPr>
            <w:tcW w:w="2040" w:type="dxa"/>
            <w:vMerge/>
            <w:tcBorders>
              <w:top w:val="nil"/>
              <w:left w:val="nil"/>
              <w:bottom w:val="single" w:sz="4" w:space="0" w:color="000000"/>
              <w:right w:val="single" w:sz="4" w:space="0" w:color="000000"/>
            </w:tcBorders>
          </w:tcPr>
          <w:p w:rsidR="00A2231D" w:rsidRDefault="00A223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p>
        </w:tc>
      </w:tr>
      <w:tr w:rsidR="00A2231D">
        <w:tblPrEx>
          <w:tblCellMar>
            <w:top w:w="0" w:type="dxa"/>
            <w:left w:w="0" w:type="dxa"/>
            <w:bottom w:w="0" w:type="dxa"/>
            <w:right w:w="0" w:type="dxa"/>
          </w:tblCellMar>
        </w:tblPrEx>
        <w:tc>
          <w:tcPr>
            <w:tcW w:w="1020" w:type="dxa"/>
            <w:vMerge w:val="restart"/>
            <w:tcBorders>
              <w:top w:val="nil"/>
              <w:left w:val="single" w:sz="4" w:space="0" w:color="000000"/>
              <w:bottom w:val="single" w:sz="4" w:space="0" w:color="000000"/>
              <w:right w:val="single" w:sz="4" w:space="0" w:color="000000"/>
            </w:tcBorders>
          </w:tcPr>
          <w:p w:rsidR="00A2231D" w:rsidRDefault="00A2231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第１号通所事業</w:t>
            </w:r>
          </w:p>
        </w:tc>
        <w:tc>
          <w:tcPr>
            <w:tcW w:w="1870" w:type="dxa"/>
            <w:tcBorders>
              <w:top w:val="nil"/>
              <w:left w:val="nil"/>
              <w:bottom w:val="single" w:sz="4" w:space="0" w:color="000000"/>
              <w:right w:val="single" w:sz="4" w:space="0" w:color="000000"/>
            </w:tcBorders>
          </w:tcPr>
          <w:p w:rsidR="00A2231D" w:rsidRDefault="00A2231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介護予防通所介護相当サービス</w:t>
            </w:r>
          </w:p>
        </w:tc>
        <w:tc>
          <w:tcPr>
            <w:tcW w:w="3401" w:type="dxa"/>
            <w:tcBorders>
              <w:top w:val="nil"/>
              <w:left w:val="nil"/>
              <w:bottom w:val="single" w:sz="4" w:space="0" w:color="000000"/>
              <w:right w:val="single" w:sz="4" w:space="0" w:color="000000"/>
            </w:tcBorders>
          </w:tcPr>
          <w:p w:rsidR="00A2231D" w:rsidRDefault="00A2231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地域支援事業実施要綱別添１の２に定める単位</w:t>
            </w:r>
          </w:p>
        </w:tc>
        <w:tc>
          <w:tcPr>
            <w:tcW w:w="2040" w:type="dxa"/>
            <w:vMerge w:val="restart"/>
            <w:tcBorders>
              <w:top w:val="nil"/>
              <w:left w:val="nil"/>
              <w:bottom w:val="single" w:sz="4" w:space="0" w:color="000000"/>
              <w:right w:val="single" w:sz="4" w:space="0" w:color="000000"/>
            </w:tcBorders>
          </w:tcPr>
          <w:p w:rsidR="00A2231D" w:rsidRDefault="00A2231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単価告示に定める地域区分に応じた通所介護の単価</w:t>
            </w:r>
          </w:p>
        </w:tc>
      </w:tr>
      <w:tr w:rsidR="00A2231D">
        <w:tblPrEx>
          <w:tblCellMar>
            <w:top w:w="0" w:type="dxa"/>
            <w:left w:w="0" w:type="dxa"/>
            <w:bottom w:w="0" w:type="dxa"/>
            <w:right w:w="0" w:type="dxa"/>
          </w:tblCellMar>
        </w:tblPrEx>
        <w:tc>
          <w:tcPr>
            <w:tcW w:w="1020" w:type="dxa"/>
            <w:vMerge/>
            <w:tcBorders>
              <w:top w:val="nil"/>
              <w:left w:val="single" w:sz="4" w:space="0" w:color="000000"/>
              <w:bottom w:val="single" w:sz="4" w:space="0" w:color="000000"/>
              <w:right w:val="single" w:sz="4" w:space="0" w:color="000000"/>
            </w:tcBorders>
          </w:tcPr>
          <w:p w:rsidR="00A2231D" w:rsidRPr="004136B4" w:rsidRDefault="00A2231D">
            <w:pPr>
              <w:autoSpaceDE w:val="0"/>
              <w:autoSpaceDN w:val="0"/>
              <w:adjustRightInd w:val="0"/>
              <w:jc w:val="left"/>
              <w:rPr>
                <w:rFonts w:ascii="Arial" w:hAnsi="Arial" w:cs="Arial"/>
                <w:kern w:val="0"/>
                <w:sz w:val="24"/>
                <w:szCs w:val="24"/>
              </w:rPr>
            </w:pPr>
          </w:p>
        </w:tc>
        <w:tc>
          <w:tcPr>
            <w:tcW w:w="1870" w:type="dxa"/>
            <w:tcBorders>
              <w:top w:val="nil"/>
              <w:left w:val="nil"/>
              <w:bottom w:val="single" w:sz="4" w:space="0" w:color="000000"/>
              <w:right w:val="single" w:sz="4" w:space="0" w:color="000000"/>
            </w:tcBorders>
          </w:tcPr>
          <w:p w:rsidR="00A2231D" w:rsidRDefault="00A2231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通所型サービス</w:t>
            </w:r>
            <w:r>
              <w:rPr>
                <w:rFonts w:ascii="Century" w:eastAsia="ＭＳ 明朝" w:hAnsi="ＭＳ 明朝" w:cs="ＭＳ 明朝"/>
                <w:color w:val="000000"/>
                <w:kern w:val="0"/>
                <w:szCs w:val="21"/>
              </w:rPr>
              <w:t>A</w:t>
            </w:r>
          </w:p>
        </w:tc>
        <w:tc>
          <w:tcPr>
            <w:tcW w:w="3401" w:type="dxa"/>
            <w:tcBorders>
              <w:top w:val="nil"/>
              <w:left w:val="nil"/>
              <w:bottom w:val="single" w:sz="4" w:space="0" w:color="000000"/>
              <w:right w:val="single" w:sz="4" w:space="0" w:color="000000"/>
            </w:tcBorders>
          </w:tcPr>
          <w:p w:rsidR="00A2231D" w:rsidRDefault="00A223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　２時間程度の通所型サービス・送迎なし（１回につき）　３００単位</w:t>
            </w:r>
          </w:p>
          <w:p w:rsidR="00A2231D" w:rsidRDefault="00A223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送迎加算（片道につき）　２５単位</w:t>
            </w:r>
          </w:p>
          <w:p w:rsidR="00A2231D" w:rsidRDefault="00A223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ウ　運動器機能向上加算（１回につき）　３０単位</w:t>
            </w:r>
          </w:p>
        </w:tc>
        <w:tc>
          <w:tcPr>
            <w:tcW w:w="2040" w:type="dxa"/>
            <w:vMerge/>
            <w:tcBorders>
              <w:top w:val="nil"/>
              <w:left w:val="nil"/>
              <w:bottom w:val="single" w:sz="4" w:space="0" w:color="000000"/>
              <w:right w:val="single" w:sz="4" w:space="0" w:color="000000"/>
            </w:tcBorders>
          </w:tcPr>
          <w:p w:rsidR="00A2231D" w:rsidRDefault="00A223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p>
        </w:tc>
      </w:tr>
    </w:tbl>
    <w:p w:rsidR="00A2231D" w:rsidRDefault="00A2231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注１　訪問型サービス</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のア，イ及びウについて，事業所と同一建物の利用者又はこれ以外の同一建物の利用者２０人以上にサービスを行う場合は，所定単位数に９０／１００を乗じる。</w:t>
      </w:r>
    </w:p>
    <w:p w:rsidR="00A2231D" w:rsidRDefault="00A2231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注２　訪問型サービスの</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のエについて，訪問型サービス</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事業所において，新規に訪問型個別計画を作成した利用者に対して，サービス提供責任者（訪問事業責任者）が初回</w:t>
      </w:r>
      <w:r>
        <w:rPr>
          <w:rFonts w:ascii="Century" w:eastAsia="ＭＳ 明朝" w:hAnsi="ＭＳ 明朝" w:cs="ＭＳ 明朝" w:hint="eastAsia"/>
          <w:color w:val="000000"/>
          <w:kern w:val="0"/>
          <w:szCs w:val="21"/>
        </w:rPr>
        <w:lastRenderedPageBreak/>
        <w:t>若しくは初回の訪問型サービス</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のサービスを行った日の属する月に訪問型サービス</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を行った際にサービス提供責任者（訪問事業責任者）が同行した場合には１月につき所定単位数を加算する。</w:t>
      </w:r>
    </w:p>
    <w:p w:rsidR="00A2231D" w:rsidRDefault="00A2231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注３　通所型サービス</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のアについて，利用者の数が利用定員を超える場合は，所定単位数に７０／１００を，事業所と同一建物に居住する者又は同一建物から利用する者に通所型サービス</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を行う場合は，所定単位数に９０／１００を乗じる。</w:t>
      </w:r>
    </w:p>
    <w:p w:rsidR="00A2231D" w:rsidRDefault="00A2231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注４　通所型サービス</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のウについて，次に掲げるいずれの基準にも適合しているものとして市長に届け出て，利用者の運動器の機能向上を目的として個別的に実施される機能訓練であって，利用者の心身の状態の維持又は向上に資すると認められるものを行った場合は，１月に７回を限度として１日につき所定単位数を加算する。</w:t>
      </w:r>
    </w:p>
    <w:p w:rsidR="00A2231D" w:rsidRDefault="00A2231D">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　専ら機能訓練指導員の職務に従事する理学療法士，作業療法士，言語聴覚士，看護職員，柔道整体師又はあん摩マッサージ指圧師（以下この注において「理学療法士等」という。）を１名以上配置していること。</w:t>
      </w:r>
    </w:p>
    <w:p w:rsidR="00A2231D" w:rsidRDefault="00A2231D">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利用者の運動器の機能を利用開始時に把握し，理学療法士等，介護職員，生活相談員その他の職種の者が共同して，運動器機能向上計画を作成していること。</w:t>
      </w:r>
    </w:p>
    <w:p w:rsidR="00A2231D" w:rsidRDefault="00A2231D">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ウ　利用者ごとの運動器機能向上計画に従い理学療法士等，介護職員その他の職種の者が運動器機能向上サービスを行っているとともに，利用者の運動器の機能を定期的に記録していること。</w:t>
      </w:r>
    </w:p>
    <w:p w:rsidR="00A2231D" w:rsidRDefault="00A2231D">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エ　利用者ごとの運動器機能向上計画の進捗状況を定期的に評価していること。</w:t>
      </w:r>
    </w:p>
    <w:p w:rsidR="00A2231D" w:rsidRDefault="00A223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別表第２（第８条関係）</w:t>
      </w:r>
    </w:p>
    <w:tbl>
      <w:tblPr>
        <w:tblW w:w="0" w:type="auto"/>
        <w:tblInd w:w="5" w:type="dxa"/>
        <w:tblLayout w:type="fixed"/>
        <w:tblCellMar>
          <w:left w:w="0" w:type="dxa"/>
          <w:right w:w="0" w:type="dxa"/>
        </w:tblCellMar>
        <w:tblLook w:val="0000" w:firstRow="0" w:lastRow="0" w:firstColumn="0" w:lastColumn="0" w:noHBand="0" w:noVBand="0"/>
      </w:tblPr>
      <w:tblGrid>
        <w:gridCol w:w="3061"/>
        <w:gridCol w:w="5442"/>
      </w:tblGrid>
      <w:tr w:rsidR="00A2231D">
        <w:tblPrEx>
          <w:tblCellMar>
            <w:top w:w="0" w:type="dxa"/>
            <w:left w:w="0" w:type="dxa"/>
            <w:bottom w:w="0" w:type="dxa"/>
            <w:right w:w="0" w:type="dxa"/>
          </w:tblCellMar>
        </w:tblPrEx>
        <w:tc>
          <w:tcPr>
            <w:tcW w:w="3061" w:type="dxa"/>
            <w:tcBorders>
              <w:top w:val="single" w:sz="4" w:space="0" w:color="000000"/>
              <w:left w:val="single" w:sz="4" w:space="0" w:color="000000"/>
              <w:bottom w:val="single" w:sz="4" w:space="0" w:color="000000"/>
              <w:right w:val="single" w:sz="4" w:space="0" w:color="000000"/>
            </w:tcBorders>
          </w:tcPr>
          <w:p w:rsidR="00A2231D" w:rsidRDefault="00A2231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事業名</w:t>
            </w:r>
          </w:p>
        </w:tc>
        <w:tc>
          <w:tcPr>
            <w:tcW w:w="5442" w:type="dxa"/>
            <w:tcBorders>
              <w:top w:val="single" w:sz="4" w:space="0" w:color="000000"/>
              <w:left w:val="nil"/>
              <w:bottom w:val="single" w:sz="4" w:space="0" w:color="000000"/>
              <w:right w:val="single" w:sz="4" w:space="0" w:color="000000"/>
            </w:tcBorders>
          </w:tcPr>
          <w:p w:rsidR="00A2231D" w:rsidRDefault="00A2231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委託費の額</w:t>
            </w:r>
          </w:p>
        </w:tc>
      </w:tr>
      <w:tr w:rsidR="00A2231D">
        <w:tblPrEx>
          <w:tblCellMar>
            <w:top w:w="0" w:type="dxa"/>
            <w:left w:w="0" w:type="dxa"/>
            <w:bottom w:w="0" w:type="dxa"/>
            <w:right w:w="0" w:type="dxa"/>
          </w:tblCellMar>
        </w:tblPrEx>
        <w:tc>
          <w:tcPr>
            <w:tcW w:w="3061" w:type="dxa"/>
            <w:tcBorders>
              <w:top w:val="nil"/>
              <w:left w:val="single" w:sz="4" w:space="0" w:color="000000"/>
              <w:bottom w:val="single" w:sz="4" w:space="0" w:color="000000"/>
              <w:right w:val="single" w:sz="4" w:space="0" w:color="000000"/>
            </w:tcBorders>
          </w:tcPr>
          <w:p w:rsidR="00A2231D" w:rsidRDefault="00A2231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介護予防ケアマネジメント</w:t>
            </w:r>
            <w:r>
              <w:rPr>
                <w:rFonts w:ascii="Century" w:eastAsia="ＭＳ 明朝" w:hAnsi="ＭＳ 明朝" w:cs="ＭＳ 明朝"/>
                <w:color w:val="000000"/>
                <w:kern w:val="0"/>
                <w:szCs w:val="21"/>
              </w:rPr>
              <w:t>A</w:t>
            </w:r>
          </w:p>
        </w:tc>
        <w:tc>
          <w:tcPr>
            <w:tcW w:w="5442" w:type="dxa"/>
            <w:tcBorders>
              <w:top w:val="nil"/>
              <w:left w:val="nil"/>
              <w:bottom w:val="single" w:sz="4" w:space="0" w:color="000000"/>
              <w:right w:val="single" w:sz="4" w:space="0" w:color="000000"/>
            </w:tcBorders>
          </w:tcPr>
          <w:p w:rsidR="00A2231D" w:rsidRDefault="00A2231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１月につき　４，２００円</w:t>
            </w:r>
          </w:p>
          <w:p w:rsidR="00A2231D" w:rsidRDefault="00A2231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初回加算　３，０００円</w:t>
            </w:r>
          </w:p>
        </w:tc>
      </w:tr>
      <w:tr w:rsidR="00A2231D">
        <w:tblPrEx>
          <w:tblCellMar>
            <w:top w:w="0" w:type="dxa"/>
            <w:left w:w="0" w:type="dxa"/>
            <w:bottom w:w="0" w:type="dxa"/>
            <w:right w:w="0" w:type="dxa"/>
          </w:tblCellMar>
        </w:tblPrEx>
        <w:tc>
          <w:tcPr>
            <w:tcW w:w="3061" w:type="dxa"/>
            <w:tcBorders>
              <w:top w:val="nil"/>
              <w:left w:val="single" w:sz="4" w:space="0" w:color="000000"/>
              <w:bottom w:val="single" w:sz="4" w:space="0" w:color="000000"/>
              <w:right w:val="single" w:sz="4" w:space="0" w:color="000000"/>
            </w:tcBorders>
          </w:tcPr>
          <w:p w:rsidR="00A2231D" w:rsidRDefault="00A2231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介護予防ケアマネジメント</w:t>
            </w:r>
            <w:r>
              <w:rPr>
                <w:rFonts w:ascii="Century" w:eastAsia="ＭＳ 明朝" w:hAnsi="ＭＳ 明朝" w:cs="ＭＳ 明朝"/>
                <w:color w:val="000000"/>
                <w:kern w:val="0"/>
                <w:szCs w:val="21"/>
              </w:rPr>
              <w:t>B</w:t>
            </w:r>
          </w:p>
        </w:tc>
        <w:tc>
          <w:tcPr>
            <w:tcW w:w="5442" w:type="dxa"/>
            <w:tcBorders>
              <w:top w:val="nil"/>
              <w:left w:val="nil"/>
              <w:bottom w:val="single" w:sz="4" w:space="0" w:color="000000"/>
              <w:right w:val="single" w:sz="4" w:space="0" w:color="000000"/>
            </w:tcBorders>
          </w:tcPr>
          <w:p w:rsidR="00A2231D" w:rsidRDefault="00A2231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１月につき　２，５００円</w:t>
            </w:r>
          </w:p>
          <w:p w:rsidR="00A2231D" w:rsidRDefault="00A2231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初回加算　３，０００円</w:t>
            </w:r>
          </w:p>
        </w:tc>
      </w:tr>
      <w:tr w:rsidR="00A2231D">
        <w:tblPrEx>
          <w:tblCellMar>
            <w:top w:w="0" w:type="dxa"/>
            <w:left w:w="0" w:type="dxa"/>
            <w:bottom w:w="0" w:type="dxa"/>
            <w:right w:w="0" w:type="dxa"/>
          </w:tblCellMar>
        </w:tblPrEx>
        <w:tc>
          <w:tcPr>
            <w:tcW w:w="3061" w:type="dxa"/>
            <w:tcBorders>
              <w:top w:val="nil"/>
              <w:left w:val="single" w:sz="4" w:space="0" w:color="000000"/>
              <w:bottom w:val="single" w:sz="4" w:space="0" w:color="000000"/>
              <w:right w:val="single" w:sz="4" w:space="0" w:color="000000"/>
            </w:tcBorders>
          </w:tcPr>
          <w:p w:rsidR="00A2231D" w:rsidRDefault="00A2231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介護予防ケアマネジメント</w:t>
            </w:r>
            <w:r>
              <w:rPr>
                <w:rFonts w:ascii="Century" w:eastAsia="ＭＳ 明朝" w:hAnsi="ＭＳ 明朝" w:cs="ＭＳ 明朝"/>
                <w:color w:val="000000"/>
                <w:kern w:val="0"/>
                <w:szCs w:val="21"/>
              </w:rPr>
              <w:t>C</w:t>
            </w:r>
          </w:p>
        </w:tc>
        <w:tc>
          <w:tcPr>
            <w:tcW w:w="5442" w:type="dxa"/>
            <w:tcBorders>
              <w:top w:val="nil"/>
              <w:left w:val="nil"/>
              <w:bottom w:val="single" w:sz="4" w:space="0" w:color="000000"/>
              <w:right w:val="single" w:sz="4" w:space="0" w:color="000000"/>
            </w:tcBorders>
          </w:tcPr>
          <w:p w:rsidR="00A2231D" w:rsidRDefault="00A2231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１月につき　４，２００円</w:t>
            </w:r>
          </w:p>
          <w:p w:rsidR="00A2231D" w:rsidRDefault="00A2231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初回加算　３，０００円</w:t>
            </w:r>
          </w:p>
        </w:tc>
      </w:tr>
    </w:tbl>
    <w:p w:rsidR="00A2231D" w:rsidRDefault="00A2231D">
      <w:pPr>
        <w:autoSpaceDE w:val="0"/>
        <w:autoSpaceDN w:val="0"/>
        <w:adjustRightInd w:val="0"/>
        <w:jc w:val="left"/>
        <w:rPr>
          <w:rFonts w:ascii="Arial" w:hAnsi="Arial" w:cs="Arial"/>
          <w:kern w:val="0"/>
          <w:sz w:val="24"/>
          <w:szCs w:val="24"/>
        </w:rPr>
        <w:sectPr w:rsidR="00A2231D">
          <w:footerReference w:type="default" r:id="rId6"/>
          <w:pgSz w:w="11905" w:h="16837"/>
          <w:pgMar w:top="1984" w:right="1700" w:bottom="1700" w:left="1700" w:header="720" w:footer="720" w:gutter="0"/>
          <w:cols w:space="720"/>
          <w:noEndnote/>
        </w:sectPr>
      </w:pPr>
    </w:p>
    <w:p w:rsidR="00A2231D" w:rsidRDefault="00A2231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614.25pt">
            <v:imagedata r:id="rId7" o:title=""/>
          </v:shape>
        </w:pict>
      </w:r>
    </w:p>
    <w:p w:rsidR="00A2231D" w:rsidRDefault="00A2231D">
      <w:pPr>
        <w:autoSpaceDE w:val="0"/>
        <w:autoSpaceDN w:val="0"/>
        <w:adjustRightInd w:val="0"/>
        <w:jc w:val="left"/>
        <w:rPr>
          <w:rFonts w:ascii="Arial" w:hAnsi="Arial" w:cs="Arial"/>
          <w:kern w:val="0"/>
          <w:sz w:val="24"/>
          <w:szCs w:val="24"/>
        </w:rPr>
        <w:sectPr w:rsidR="00A2231D">
          <w:footerReference w:type="default" r:id="rId8"/>
          <w:pgSz w:w="11905" w:h="16837"/>
          <w:pgMar w:top="1984" w:right="1700" w:bottom="1700" w:left="1700" w:header="720" w:footer="720" w:gutter="0"/>
          <w:cols w:space="720"/>
          <w:noEndnote/>
        </w:sectPr>
      </w:pPr>
    </w:p>
    <w:p w:rsidR="00A2231D" w:rsidRDefault="00A223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別記様式（第１２条関係）</w:t>
      </w:r>
    </w:p>
    <w:p w:rsidR="00A2231D" w:rsidRDefault="00A2231D">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p>
    <w:sectPr w:rsidR="00A2231D">
      <w:footerReference w:type="default" r:id="rId9"/>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6B4" w:rsidRDefault="004136B4">
      <w:r>
        <w:separator/>
      </w:r>
    </w:p>
  </w:endnote>
  <w:endnote w:type="continuationSeparator" w:id="0">
    <w:p w:rsidR="004136B4" w:rsidRDefault="0041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31D" w:rsidRDefault="00A2231D">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5762AB">
      <w:rPr>
        <w:rFonts w:ascii="Century" w:eastAsia="ＭＳ 明朝" w:hAnsi="ＭＳ 明朝" w:cs="ＭＳ 明朝"/>
        <w:noProof/>
        <w:color w:val="000000"/>
        <w:kern w:val="0"/>
        <w:szCs w:val="21"/>
      </w:rPr>
      <w:t>8</w:t>
    </w:r>
    <w:r>
      <w:rPr>
        <w:rFonts w:ascii="Century" w:eastAsia="ＭＳ 明朝" w:hAnsi="ＭＳ 明朝" w:cs="ＭＳ 明朝"/>
        <w:color w:val="000000"/>
        <w:kern w:val="0"/>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31D" w:rsidRDefault="00A2231D">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5762AB">
      <w:rPr>
        <w:rFonts w:ascii="Century" w:eastAsia="ＭＳ 明朝" w:hAnsi="ＭＳ 明朝" w:cs="ＭＳ 明朝"/>
        <w:noProof/>
        <w:color w:val="000000"/>
        <w:kern w:val="0"/>
        <w:szCs w:val="21"/>
      </w:rPr>
      <w:t>8</w:t>
    </w:r>
    <w:r>
      <w:rPr>
        <w:rFonts w:ascii="Century" w:eastAsia="ＭＳ 明朝" w:hAnsi="ＭＳ 明朝" w:cs="ＭＳ 明朝"/>
        <w:color w:val="000000"/>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31D" w:rsidRDefault="00A2231D">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5762AB">
      <w:rPr>
        <w:rFonts w:ascii="Century" w:eastAsia="ＭＳ 明朝" w:hAnsi="ＭＳ 明朝" w:cs="ＭＳ 明朝"/>
        <w:noProof/>
        <w:color w:val="000000"/>
        <w:kern w:val="0"/>
        <w:szCs w:val="21"/>
      </w:rPr>
      <w:t>8</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6B4" w:rsidRDefault="004136B4">
      <w:r>
        <w:separator/>
      </w:r>
    </w:p>
  </w:footnote>
  <w:footnote w:type="continuationSeparator" w:id="0">
    <w:p w:rsidR="004136B4" w:rsidRDefault="00413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60AF"/>
    <w:rsid w:val="004136B4"/>
    <w:rsid w:val="0043694F"/>
    <w:rsid w:val="005762AB"/>
    <w:rsid w:val="005B59FF"/>
    <w:rsid w:val="007A77F0"/>
    <w:rsid w:val="007F15E1"/>
    <w:rsid w:val="00A2231D"/>
    <w:rsid w:val="00EC6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36CC126-765A-4D26-BA07-01D724601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oter" Target="footer2.xml"/>
<Relationship Id="rId3" Type="http://schemas.openxmlformats.org/officeDocument/2006/relationships/webSettings" Target="webSettings.xml"/>
<Relationship Id="rId7" Type="http://schemas.openxmlformats.org/officeDocument/2006/relationships/image" Target="media/image1.pn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footer" Target="footer3.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775</Words>
  <Characters>4421</Characters>
  <Application>FastSanitizer</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2018-07-31T08:54:00Z</dcterms:created>
  <dcterms:modified xsi:type="dcterms:W3CDTF">2018-07-31T08:54:00Z</dcterms:modified>
</cp:coreProperties>
</file>